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仿宋" w:hAnsi="仿宋" w:eastAsia="仿宋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sz w:val="36"/>
          <w:szCs w:val="36"/>
        </w:rPr>
        <w:t>附件：需求一览表</w:t>
      </w:r>
    </w:p>
    <w:p>
      <w:pPr>
        <w:jc w:val="left"/>
        <w:rPr>
          <w:rFonts w:hint="eastAsia" w:ascii="仿宋" w:hAnsi="仿宋" w:eastAsia="仿宋" w:cs="宋体"/>
          <w:b/>
          <w:sz w:val="24"/>
          <w:szCs w:val="24"/>
        </w:rPr>
      </w:pPr>
    </w:p>
    <w:p>
      <w:pPr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  <w:szCs w:val="24"/>
        </w:rPr>
        <w:t>项目名称：国网智能科技股份有限公司</w:t>
      </w:r>
      <w:r>
        <w:rPr>
          <w:rFonts w:hint="eastAsia" w:ascii="仿宋" w:hAnsi="仿宋" w:eastAsia="仿宋" w:cs="宋体"/>
          <w:b/>
          <w:sz w:val="24"/>
          <w:szCs w:val="24"/>
          <w:lang w:eastAsia="zh-CN"/>
        </w:rPr>
        <w:t>海缆巡检水下机器人导航传感材料采购项目</w:t>
      </w:r>
      <w:r>
        <w:rPr>
          <w:rFonts w:hint="eastAsia" w:ascii="仿宋" w:hAnsi="仿宋" w:eastAsia="仿宋" w:cs="宋体"/>
          <w:b/>
          <w:sz w:val="24"/>
          <w:szCs w:val="24"/>
        </w:rPr>
        <w:t xml:space="preserve">     </w:t>
      </w:r>
    </w:p>
    <w:p>
      <w:pPr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采购编号：SGAI20Y3-1203-WZDXJT-EH01</w:t>
      </w:r>
    </w:p>
    <w:tbl>
      <w:tblPr>
        <w:tblStyle w:val="4"/>
        <w:tblW w:w="4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67"/>
        <w:gridCol w:w="1673"/>
        <w:gridCol w:w="480"/>
        <w:gridCol w:w="615"/>
        <w:gridCol w:w="436"/>
        <w:gridCol w:w="436"/>
        <w:gridCol w:w="436"/>
        <w:gridCol w:w="113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8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1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76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保证金金额（元）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  <w:jc w:val="center"/>
        </w:trPr>
        <w:tc>
          <w:tcPr>
            <w:tcW w:w="480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海缆巡检水下机器人导航传感材料采购项目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多普勒计程仪</w:t>
            </w:r>
          </w:p>
        </w:tc>
        <w:tc>
          <w:tcPr>
            <w:tcW w:w="11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（1）频率≥500kHz；（2）使用水深≥300m；（3）精度≤2%±1mm/s；（4）最大探测高度140m，最小探测高度0.3m；（5）空气中重量≤4kg；（6）尺寸≤190*140（长*直径/宽）；（7）功耗≤20W等。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合同签订后2个月内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1年</w:t>
            </w: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买方指定仓库地面交货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）采购方式：公开竞争性谈判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）厂商要求：集货商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）业绩要求：投标人2018年1月1日至投标截止日内，与招标项目相似产品业绩不少于2份且合同额累计不低于150万元，注：业绩必须提供对应的合同复印件。</w:t>
            </w:r>
          </w:p>
        </w:tc>
        <w:tc>
          <w:tcPr>
            <w:tcW w:w="564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480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惯导装置</w:t>
            </w:r>
          </w:p>
        </w:tc>
        <w:tc>
          <w:tcPr>
            <w:tcW w:w="11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（1）航向精度≤1°；（2）多普勒组合导航精度≤1%D(CEP);（3）尺寸≤150mm×150mm×150mm；（4）功耗≤25W；（5）空气中重量≤5kg等。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合同签订后2个月内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1年</w:t>
            </w: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买方指定仓库地面交货</w:t>
            </w:r>
          </w:p>
        </w:tc>
        <w:tc>
          <w:tcPr>
            <w:tcW w:w="764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  <w:jc w:val="center"/>
        </w:trPr>
        <w:tc>
          <w:tcPr>
            <w:tcW w:w="480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侧扫声呐</w:t>
            </w:r>
          </w:p>
        </w:tc>
        <w:tc>
          <w:tcPr>
            <w:tcW w:w="11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（1）分体式侧扫声呐；（2）双频同步发射，低频≥400kHz、高频≥800kHz；（3）密封电子仓尺寸(长*直径/宽)≤420mm*120mm；（4）功耗≤40W；（5）使用水深≥300m；（6）垂直航迹分辨率≤2cm等。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合同签订后2个月内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1年</w:t>
            </w: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买方指定仓库地面交货</w:t>
            </w:r>
          </w:p>
        </w:tc>
        <w:tc>
          <w:tcPr>
            <w:tcW w:w="764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480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耐压电子仓</w:t>
            </w:r>
          </w:p>
        </w:tc>
        <w:tc>
          <w:tcPr>
            <w:tcW w:w="11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（1）壳体采用TC4钛合金材料；（2）壳体厚度≥3mm；（3）设计耐压值≥5Mpa；（4）使用水深≥200m；（5）空气中重量≤15kg等。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合同签订后2个月内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1年</w:t>
            </w: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买方指定仓库地面交货</w:t>
            </w:r>
          </w:p>
        </w:tc>
        <w:tc>
          <w:tcPr>
            <w:tcW w:w="764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480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蓄电池组</w:t>
            </w:r>
          </w:p>
        </w:tc>
        <w:tc>
          <w:tcPr>
            <w:tcW w:w="11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（1）电池类型为锂电池；（2）空气中重量≤20kg；（3）使用水深≥200m；（4）电压范围42～58.8V；（5）循环寿命大于400次（容量大于80%）；（6）采用充油式钛合金壳体承压等。</w:t>
            </w:r>
          </w:p>
        </w:tc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合同签订后2个月内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1年</w:t>
            </w: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买方指定仓库地面交货</w:t>
            </w:r>
          </w:p>
        </w:tc>
        <w:tc>
          <w:tcPr>
            <w:tcW w:w="764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 w:cs="Times New Roman"/>
          <w:sz w:val="22"/>
          <w:szCs w:val="22"/>
        </w:rPr>
      </w:pPr>
      <w:r>
        <w:rPr>
          <w:rFonts w:hint="eastAsia" w:ascii="仿宋" w:hAnsi="仿宋" w:eastAsia="仿宋" w:cs="Times New Roman"/>
          <w:sz w:val="22"/>
          <w:szCs w:val="22"/>
        </w:rPr>
        <w:t>备注：</w:t>
      </w:r>
    </w:p>
    <w:p>
      <w:pPr>
        <w:rPr>
          <w:rFonts w:ascii="仿宋" w:hAnsi="仿宋" w:eastAsia="仿宋" w:cs="Times New Roman"/>
          <w:sz w:val="22"/>
          <w:szCs w:val="22"/>
        </w:rPr>
      </w:pPr>
      <w:r>
        <w:rPr>
          <w:rFonts w:hint="eastAsia" w:ascii="仿宋" w:hAnsi="仿宋" w:eastAsia="仿宋" w:cs="Times New Roman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 w:cs="Times New Roman"/>
          <w:sz w:val="22"/>
          <w:szCs w:val="22"/>
        </w:rPr>
      </w:pPr>
      <w:r>
        <w:rPr>
          <w:rFonts w:hint="eastAsia" w:ascii="仿宋" w:hAnsi="仿宋" w:eastAsia="仿宋" w:cs="Times New Roman"/>
          <w:sz w:val="22"/>
          <w:szCs w:val="22"/>
        </w:rPr>
        <w:t>2.投标文件中提供的证明材料复印件应复印清晰、可辨认且不得遮盖、涂抹，否则视为无效。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E468A"/>
    <w:rsid w:val="023E468A"/>
    <w:rsid w:val="1D7D7DA7"/>
    <w:rsid w:val="33875580"/>
    <w:rsid w:val="533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2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2020-12-03T05:54:00Z</dcterms:created>
  <dc:creator>晓惠君</dc:creator>
  <cp:lastModifiedBy>晓惠君</cp:lastModifiedBy>
  <dcterms:modified xsi:type="dcterms:W3CDTF">2020-12-03T06:15:28Z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